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C0853">
      <w:pP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附件1</w:t>
      </w:r>
    </w:p>
    <w:p w14:paraId="2B0C2938">
      <w:pPr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工作联系人表</w:t>
      </w:r>
    </w:p>
    <w:p w14:paraId="2DBDC988">
      <w:pPr>
        <w:spacing w:line="560" w:lineRule="exact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F2414CF">
      <w:pPr>
        <w:spacing w:line="560" w:lineRule="exact"/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市（州）、高校、省属中职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单位名称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盖章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</w:t>
      </w:r>
    </w:p>
    <w:tbl>
      <w:tblPr>
        <w:tblStyle w:val="19"/>
        <w:tblW w:w="91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2"/>
        <w:gridCol w:w="2693"/>
        <w:gridCol w:w="1701"/>
        <w:gridCol w:w="2206"/>
      </w:tblGrid>
      <w:tr w14:paraId="5ED00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42" w:type="dxa"/>
            <w:noWrap w:val="0"/>
            <w:vAlign w:val="center"/>
          </w:tcPr>
          <w:p w14:paraId="321BCC3D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大赛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2693" w:type="dxa"/>
            <w:noWrap w:val="0"/>
            <w:vAlign w:val="center"/>
          </w:tcPr>
          <w:p w14:paraId="75FE5C4A">
            <w:pPr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noWrap w:val="0"/>
            <w:vAlign w:val="center"/>
          </w:tcPr>
          <w:p w14:paraId="25FB25E1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206" w:type="dxa"/>
            <w:noWrap w:val="0"/>
            <w:vAlign w:val="center"/>
          </w:tcPr>
          <w:p w14:paraId="607AA314">
            <w:pPr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97B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2" w:type="dxa"/>
            <w:noWrap w:val="0"/>
            <w:vAlign w:val="center"/>
          </w:tcPr>
          <w:p w14:paraId="5A8F1593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所在部门</w:t>
            </w:r>
          </w:p>
        </w:tc>
        <w:tc>
          <w:tcPr>
            <w:tcW w:w="2693" w:type="dxa"/>
            <w:noWrap w:val="0"/>
            <w:vAlign w:val="center"/>
          </w:tcPr>
          <w:p w14:paraId="6C5AC61A">
            <w:pPr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noWrap w:val="0"/>
            <w:vAlign w:val="center"/>
          </w:tcPr>
          <w:p w14:paraId="0F8E9982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2206" w:type="dxa"/>
            <w:noWrap w:val="0"/>
            <w:vAlign w:val="center"/>
          </w:tcPr>
          <w:p w14:paraId="64677553">
            <w:pPr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2A6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2" w:type="dxa"/>
            <w:noWrap w:val="0"/>
            <w:vAlign w:val="center"/>
          </w:tcPr>
          <w:p w14:paraId="164F0073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693" w:type="dxa"/>
            <w:noWrap w:val="0"/>
            <w:vAlign w:val="center"/>
          </w:tcPr>
          <w:p w14:paraId="7EF71AB9">
            <w:pPr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noWrap w:val="0"/>
            <w:vAlign w:val="center"/>
          </w:tcPr>
          <w:p w14:paraId="3A36172D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2206" w:type="dxa"/>
            <w:noWrap w:val="0"/>
            <w:vAlign w:val="center"/>
          </w:tcPr>
          <w:p w14:paraId="2D456D33">
            <w:pPr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7C3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42" w:type="dxa"/>
            <w:gridSpan w:val="4"/>
            <w:noWrap w:val="0"/>
            <w:vAlign w:val="center"/>
          </w:tcPr>
          <w:p w14:paraId="6411DFAA">
            <w:pPr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446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542" w:type="dxa"/>
            <w:noWrap w:val="0"/>
            <w:vAlign w:val="center"/>
          </w:tcPr>
          <w:p w14:paraId="0DD9D95A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工作联系人</w:t>
            </w:r>
          </w:p>
        </w:tc>
        <w:tc>
          <w:tcPr>
            <w:tcW w:w="2693" w:type="dxa"/>
            <w:noWrap w:val="0"/>
            <w:vAlign w:val="center"/>
          </w:tcPr>
          <w:p w14:paraId="47EA594E">
            <w:pPr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 w14:paraId="0F0DCCCA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2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206" w:type="dxa"/>
            <w:noWrap w:val="0"/>
            <w:vAlign w:val="center"/>
          </w:tcPr>
          <w:p w14:paraId="55C3955D">
            <w:pPr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FF8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2" w:type="dxa"/>
            <w:shd w:val="clear" w:color="auto" w:fill="auto"/>
            <w:noWrap w:val="0"/>
            <w:vAlign w:val="center"/>
          </w:tcPr>
          <w:p w14:paraId="677B50F8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2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所在部门</w:t>
            </w:r>
          </w:p>
        </w:tc>
        <w:tc>
          <w:tcPr>
            <w:tcW w:w="2693" w:type="dxa"/>
            <w:noWrap w:val="0"/>
            <w:vAlign w:val="center"/>
          </w:tcPr>
          <w:p w14:paraId="65DDD47F">
            <w:pPr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 w14:paraId="5ABB3FC3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2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2206" w:type="dxa"/>
            <w:noWrap w:val="0"/>
            <w:vAlign w:val="center"/>
          </w:tcPr>
          <w:p w14:paraId="7E6559D8">
            <w:pPr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7D2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2" w:type="dxa"/>
            <w:shd w:val="clear" w:color="auto" w:fill="auto"/>
            <w:noWrap w:val="0"/>
            <w:vAlign w:val="center"/>
          </w:tcPr>
          <w:p w14:paraId="65B079B5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2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693" w:type="dxa"/>
            <w:noWrap w:val="0"/>
            <w:vAlign w:val="center"/>
          </w:tcPr>
          <w:p w14:paraId="3DC81165">
            <w:pPr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 w14:paraId="7D88A99C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2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2206" w:type="dxa"/>
            <w:noWrap w:val="0"/>
            <w:vAlign w:val="center"/>
          </w:tcPr>
          <w:p w14:paraId="39A21C14">
            <w:pPr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BFAE9B4">
      <w:pPr>
        <w:adjustRightInd w:val="0"/>
        <w:snapToGrid w:val="0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2C09B783">
      <w:pPr>
        <w:adjustRightInd w:val="0"/>
        <w:snapToGrid w:val="0"/>
        <w:ind w:firstLine="560" w:firstLineChars="200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注：此表用于收集各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市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（州）教育主管部门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省属中职和高职院校、普通本科高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校的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大赛负责人和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联系人信息。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请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将上表盖章PDF版上传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至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邮箱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：jsds@cdnu.edu.cn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2B269737">
      <w:pPr>
        <w:adjustRightInd w:val="0"/>
        <w:snapToGrid w:val="0"/>
        <w:ind w:firstLine="562" w:firstLineChars="200"/>
        <w:rPr>
          <w:rFonts w:hint="eastAsia" w:ascii="Times New Roman" w:hAnsi="Times New Roman" w:eastAsia="仿宋_GB2312" w:cs="Times New Roman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联系人同步扫描以下二维码报送联系人信息：</w:t>
      </w:r>
    </w:p>
    <w:p w14:paraId="18DE43D4">
      <w:pPr>
        <w:adjustRightInd w:val="0"/>
        <w:snapToGrid w:val="0"/>
        <w:ind w:firstLine="560" w:firstLineChars="200"/>
        <w:jc w:val="center"/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428750" cy="1428750"/>
            <wp:effectExtent l="0" t="0" r="6350" b="6350"/>
            <wp:docPr id="3" name="图片 3" descr="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rcod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FD65C">
      <w:pPr>
        <w:adjustRightInd w:val="0"/>
        <w:snapToGrid w:val="0"/>
        <w:ind w:firstLine="560" w:firstLineChars="200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5940918D">
      <w:pPr>
        <w:ind w:firstLine="640" w:firstLineChars="200"/>
        <w:jc w:val="center"/>
        <w:rPr>
          <w:rFonts w:hint="default" w:ascii="Times New Roman" w:hAnsi="Times New Roman" w:eastAsia="微软雅黑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00D67E84">
      <w:pPr>
        <w:rPr>
          <w:rFonts w:hint="default" w:ascii="Times New Roman" w:hAnsi="Times New Roman" w:eastAsia="微软雅黑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76903900">
      <w:pP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br w:type="page"/>
      </w:r>
    </w:p>
    <w:p w14:paraId="5B54215E">
      <w:pP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03474FAC">
      <w:pPr>
        <w:jc w:val="center"/>
        <w:rPr>
          <w:rFonts w:hint="default" w:ascii="微软雅黑" w:hAnsi="微软雅黑" w:eastAsia="微软雅黑" w:cs="微软雅黑"/>
          <w:color w:val="000000" w:themeColor="text1"/>
          <w:sz w:val="40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40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作品报送名额分配表</w:t>
      </w:r>
    </w:p>
    <w:p w14:paraId="55E8A5DB">
      <w:pPr>
        <w:numPr>
          <w:ilvl w:val="0"/>
          <w:numId w:val="1"/>
        </w:numPr>
        <w:jc w:val="both"/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市（州）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每个方向均可按下表名额推荐报送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</w:t>
      </w:r>
    </w:p>
    <w:tbl>
      <w:tblPr>
        <w:tblStyle w:val="19"/>
        <w:tblW w:w="864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205"/>
        <w:gridCol w:w="955"/>
        <w:gridCol w:w="1080"/>
        <w:gridCol w:w="1080"/>
        <w:gridCol w:w="1080"/>
        <w:gridCol w:w="1080"/>
        <w:gridCol w:w="1080"/>
      </w:tblGrid>
      <w:tr w14:paraId="47EE1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2D4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序号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447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市（州）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8F8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幼儿园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618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小学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2F1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初中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778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高中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6A5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中职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BD6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汇总</w:t>
            </w:r>
          </w:p>
        </w:tc>
      </w:tr>
      <w:tr w14:paraId="0EC83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200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643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成都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338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8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E9A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29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B16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19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9D1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6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F40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5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924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67</w:t>
            </w:r>
          </w:p>
        </w:tc>
      </w:tr>
      <w:tr w14:paraId="01722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953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0A3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自贡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D6D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E1A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7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74A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5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E59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41E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596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17</w:t>
            </w:r>
          </w:p>
        </w:tc>
      </w:tr>
      <w:tr w14:paraId="42FC3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599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A0F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攀枝花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5EA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DA9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7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D5D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540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95B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C60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14</w:t>
            </w:r>
          </w:p>
        </w:tc>
      </w:tr>
      <w:tr w14:paraId="5499A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F18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4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639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泸州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58F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AFD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9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BAF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8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FF5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DD6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9F6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22</w:t>
            </w:r>
          </w:p>
        </w:tc>
      </w:tr>
      <w:tr w14:paraId="29D07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B68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5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45F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德阳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B82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474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8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62C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5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E85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C9A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377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18</w:t>
            </w:r>
          </w:p>
        </w:tc>
      </w:tr>
      <w:tr w14:paraId="7F1AC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B3C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6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32D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绵阳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EDD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5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71B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18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F01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13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435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6B9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D34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41</w:t>
            </w:r>
          </w:p>
        </w:tc>
      </w:tr>
      <w:tr w14:paraId="664FE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029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7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8AB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广元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81A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74B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9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D6C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5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929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115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862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19</w:t>
            </w:r>
          </w:p>
        </w:tc>
      </w:tr>
      <w:tr w14:paraId="246F6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C48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8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440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遂宁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2E9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B59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9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993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5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688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64F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9F7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19</w:t>
            </w:r>
          </w:p>
        </w:tc>
      </w:tr>
      <w:tr w14:paraId="3F9D1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12E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9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710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内江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64B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41A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9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C60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5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A0E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32C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45B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20</w:t>
            </w:r>
          </w:p>
        </w:tc>
      </w:tr>
      <w:tr w14:paraId="28A95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168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10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700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乐山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268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1D6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9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607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7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4F5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A95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7CC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21</w:t>
            </w:r>
          </w:p>
        </w:tc>
      </w:tr>
      <w:tr w14:paraId="55335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5D4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11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D25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南充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91C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4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C3E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14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E4C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17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F9A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4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75E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490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42</w:t>
            </w:r>
          </w:p>
        </w:tc>
      </w:tr>
      <w:tr w14:paraId="78171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845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12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B6E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宜宾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625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4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A58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16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CB6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14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67D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E0E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FAC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39</w:t>
            </w:r>
          </w:p>
        </w:tc>
      </w:tr>
      <w:tr w14:paraId="2B7E0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70E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13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F85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广安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C50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359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8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F31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9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C8C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423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9BD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23</w:t>
            </w:r>
          </w:p>
        </w:tc>
      </w:tr>
      <w:tr w14:paraId="595F1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923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14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49D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达州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2F7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3E0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16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17F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15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BE6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FDF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798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40</w:t>
            </w:r>
          </w:p>
        </w:tc>
      </w:tr>
      <w:tr w14:paraId="2521A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9C8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15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A87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雅安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13B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07D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8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B64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6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FAA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F82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307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18</w:t>
            </w:r>
          </w:p>
        </w:tc>
      </w:tr>
      <w:tr w14:paraId="58CB8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EDF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16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D97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巴中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A16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9AE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8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993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7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E22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F71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F5F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22</w:t>
            </w:r>
          </w:p>
        </w:tc>
      </w:tr>
      <w:tr w14:paraId="23514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74B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17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C02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眉山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410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C3F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7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5C9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6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D00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419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F2C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18</w:t>
            </w:r>
          </w:p>
        </w:tc>
      </w:tr>
      <w:tr w14:paraId="7DD18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CE9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18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3F1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资阳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F9D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2F1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7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889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6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0E4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33D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4A8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18</w:t>
            </w:r>
          </w:p>
        </w:tc>
      </w:tr>
      <w:tr w14:paraId="1D97D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B6E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19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795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阿坝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62D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EB2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9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8D1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2B1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89E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8BB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16</w:t>
            </w:r>
          </w:p>
        </w:tc>
      </w:tr>
      <w:tr w14:paraId="48255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DB0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20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E51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甘孜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80A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85A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9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98F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718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794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6A5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16</w:t>
            </w:r>
          </w:p>
        </w:tc>
      </w:tr>
      <w:tr w14:paraId="753F2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3A6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21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9B9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凉山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2D1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291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9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8D4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357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23B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DD3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17</w:t>
            </w:r>
          </w:p>
        </w:tc>
      </w:tr>
      <w:tr w14:paraId="59C2B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407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合计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0FB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56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7EC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225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F85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164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487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38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1EE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44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07D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527</w:t>
            </w:r>
          </w:p>
        </w:tc>
      </w:tr>
    </w:tbl>
    <w:p w14:paraId="08E03B9E">
      <w:pPr>
        <w:numPr>
          <w:ilvl w:val="0"/>
          <w:numId w:val="0"/>
        </w:numPr>
        <w:ind w:firstLine="480" w:firstLineChars="200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（注意：省属中职院校</w:t>
      </w:r>
      <w:r>
        <w:rPr>
          <w:rFonts w:hint="default" w:ascii="Times New Roman" w:hAnsi="Times New Roman" w:eastAsia="仿宋_GB2312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Times New Roman" w:hAnsi="Times New Roman" w:eastAsia="仿宋_GB2312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直接按照</w:t>
      </w:r>
      <w:r>
        <w:rPr>
          <w:rFonts w:hint="default" w:ascii="Times New Roman" w:hAnsi="Times New Roman" w:eastAsia="仿宋_GB2312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每校每个方向不超过2个作品</w:t>
      </w:r>
      <w:r>
        <w:rPr>
          <w:rFonts w:hint="eastAsia" w:ascii="Times New Roman" w:hAnsi="Times New Roman" w:eastAsia="仿宋_GB2312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报送。）</w:t>
      </w:r>
    </w:p>
    <w:p w14:paraId="7FE98603">
      <w:pPr>
        <w:jc w:val="both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2.高校（含普通本科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、高职及职教本科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</w:t>
      </w:r>
    </w:p>
    <w:p w14:paraId="78486FD9"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参赛高等学校，可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按照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三个参赛方向推荐，每校每个方向不超过2个作品。</w:t>
      </w:r>
    </w:p>
    <w:p w14:paraId="21C6B430">
      <w:pP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br w:type="page"/>
      </w:r>
    </w:p>
    <w:p w14:paraId="70FA96FA">
      <w:pP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5DA4A38F">
      <w:pPr>
        <w:jc w:val="center"/>
        <w:rPr>
          <w:rFonts w:hint="eastAsia" w:ascii="微软雅黑" w:hAnsi="微软雅黑" w:eastAsia="微软雅黑" w:cs="微软雅黑"/>
          <w:color w:val="000000" w:themeColor="text1"/>
          <w:sz w:val="40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40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工作指南</w:t>
      </w:r>
    </w:p>
    <w:p w14:paraId="7CC6BDAA">
      <w:pPr>
        <w:numPr>
          <w:ilvl w:val="0"/>
          <w:numId w:val="0"/>
        </w:numPr>
        <w:jc w:val="center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、AI赋能教学创新应用课例</w:t>
      </w:r>
    </w:p>
    <w:p w14:paraId="192FE2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8" w:firstLineChars="228"/>
        <w:textAlignment w:val="auto"/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（一）材料清单</w:t>
      </w:r>
    </w:p>
    <w:p w14:paraId="3B6DF2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教学设计、课堂实录、说课视频、教学课件、作品诚信承诺书（附件4），所有文档均以PDF格式报送（注意除承诺书外其余文档均不呈现完成人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单位和姓名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）。</w:t>
      </w:r>
    </w:p>
    <w:p w14:paraId="55D943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（二）具体要求</w:t>
      </w:r>
    </w:p>
    <w:p w14:paraId="02579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Times New Roman" w:hAnsi="Times New Roman" w:eastAsia="仿宋_GB2312" w:cs="Times New Roman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教学设计</w:t>
      </w:r>
    </w:p>
    <w:p w14:paraId="22FF6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需包含教学内容、教材分析、学情分析、教学总体思路、教学过程、板书设计等。 </w:t>
      </w:r>
    </w:p>
    <w:p w14:paraId="6E250B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课堂实录及说课视频</w:t>
      </w:r>
    </w:p>
    <w:p w14:paraId="0DF6E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课堂教学实录为一个完整课时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（40分钟左右，幼儿园20分钟左右）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，说课视频时长为5～8分钟。要求完整呈现课堂全貌。视频应包含片头，首页需呈现“教材版本、学科、年级、课程名称”四项信息。</w:t>
      </w:r>
    </w:p>
    <w:p w14:paraId="31B85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视频画面的比例为16∶9，大小不超过3G，文件格式为MP4，编码格式H.264/25帧，分辨率1920*1080P，码率8Mbps，音频ACC编码、码率128Kbps。录制环境安静无噪声，光照充足均匀，教师语言规范，声音响亮。</w:t>
      </w:r>
    </w:p>
    <w:p w14:paraId="0A159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教学课件及其嵌入的媒体素材</w:t>
      </w:r>
    </w:p>
    <w:p w14:paraId="6D153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课件应确保内容清晰无误，界面设计简明、布局合理、重点突出、风格统一。作品不得侵犯他人版权，如引起知识产权异议和纠纷，其责任由参赛者承担。</w:t>
      </w:r>
    </w:p>
    <w:p w14:paraId="01F73F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（三）评分细则</w:t>
      </w:r>
    </w:p>
    <w:tbl>
      <w:tblPr>
        <w:tblStyle w:val="19"/>
        <w:tblW w:w="1013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1430"/>
        <w:gridCol w:w="6408"/>
        <w:gridCol w:w="860"/>
      </w:tblGrid>
      <w:tr w14:paraId="1F0C8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6C3D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评分维度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632D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评分项</w:t>
            </w: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282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评分标准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CF9F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分值</w:t>
            </w:r>
          </w:p>
        </w:tc>
      </w:tr>
      <w:tr w14:paraId="08210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4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86CC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AI赋能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教学设计</w:t>
            </w:r>
          </w:p>
          <w:p w14:paraId="7953A41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（15 分）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E43D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目标契合度</w:t>
            </w:r>
          </w:p>
          <w:p w14:paraId="2F0E085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3202C">
            <w:pPr>
              <w:widowControl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紧扣新课标/人才培养方案，深度融入立德树人根本任务与课程思政要求，借助生成式 AI 工具精准定位目标维度，确保目标与学生认知水平、学科核心素养培育需求高度匹配。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8730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5</w:t>
            </w:r>
          </w:p>
        </w:tc>
      </w:tr>
      <w:tr w14:paraId="57790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4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FF411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CC13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内容适配性</w:t>
            </w:r>
          </w:p>
          <w:p w14:paraId="1EA156EA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AA0E9">
            <w:pPr>
              <w:widowControl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教学内容编排依托生成式 AI 优化知识体系，强化系统性与逻辑性，结合学情数据分析精准提炼重点、破解难点，内容组织与 AI 赋能的教学目标深度契合，支持跨学科知识融合设计。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4D17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5</w:t>
            </w:r>
          </w:p>
        </w:tc>
      </w:tr>
      <w:tr w14:paraId="4DA56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4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2C7A6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D206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方法创新性</w:t>
            </w:r>
          </w:p>
          <w:p w14:paraId="2DD6E780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D0F77">
            <w:pPr>
              <w:widowControl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运用 AI 工具创新教学方法与评价方式，实现学习过程与成果的全面、客观追踪，评价结果可反哺教学设计优化，符合新课标/人才培养方案要求。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7EE9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5</w:t>
            </w:r>
          </w:p>
        </w:tc>
      </w:tr>
      <w:tr w14:paraId="222B4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4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AB7B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AI驱动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教学实施</w:t>
            </w:r>
          </w:p>
          <w:p w14:paraId="0E16705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（30 分）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2CB5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场景搭建</w:t>
            </w:r>
          </w:p>
          <w:p w14:paraId="461B244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6E6CC">
            <w:pPr>
              <w:widowControl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教学过程以学生为中心，依托 AI 技术搭建互动性强的 “未来课堂” 场景，通过对话式交互、游戏化任务等 AI 赋能形式激发课堂活力，充分体现创新课堂理念。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AB99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15</w:t>
            </w:r>
          </w:p>
        </w:tc>
      </w:tr>
      <w:tr w14:paraId="75D25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3D302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CD27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个性化支撑</w:t>
            </w:r>
          </w:p>
          <w:p w14:paraId="611DFC22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BAE64">
            <w:pPr>
              <w:widowControl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借助 AI 工具为学生提供精准化自主学习时间与空间，通过智能答疑、协作任务匹配等功能引导学生自主探究、合作学习，精准响应学生多样化学习需求，实现个性化学习支持。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3B3F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15</w:t>
            </w:r>
          </w:p>
        </w:tc>
      </w:tr>
      <w:tr w14:paraId="1C891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4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14C1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数智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技术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创新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应用</w:t>
            </w:r>
          </w:p>
          <w:p w14:paraId="4E4A361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（35 分）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38EB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工具适配性</w:t>
            </w:r>
          </w:p>
          <w:p w14:paraId="18B7516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C7361">
            <w:pPr>
              <w:widowControl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生成式 AI 及相关数字资源、工具应用精准适配教学内容与环节，操作熟练流畅，能够借助 AI 的数据分析、内容生成等功能高效突破教学重难点，显著提升教学效率与质量。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9E4D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15</w:t>
            </w:r>
          </w:p>
        </w:tc>
      </w:tr>
      <w:tr w14:paraId="4AFCF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4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2AA62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9F87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场景创新性</w:t>
            </w:r>
          </w:p>
          <w:p w14:paraId="6CFCD6F4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8BCB3">
            <w:pPr>
              <w:widowControl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通过生成式 AI 搭建对话式、游戏化、个性化、协作探究及跨学科学习场景，营造沉浸式、互动性强的教学环境，助力教学决策科学化。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11E5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20</w:t>
            </w:r>
          </w:p>
        </w:tc>
      </w:tr>
      <w:tr w14:paraId="4449A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4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9285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教学效果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与评价</w:t>
            </w:r>
          </w:p>
          <w:p w14:paraId="6E2FB00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（20 分）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4A66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成效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检验</w:t>
            </w:r>
          </w:p>
          <w:p w14:paraId="73F462F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61D44">
            <w:pPr>
              <w:widowControl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借助 AI 评价反馈工具检验学习效果，学生能够扎实掌握教学内容，全面达成教学目标；教师可基于 AI 生成的学情数据及时调整教学策略，学习成果显著且可量化呈现。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DD02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10</w:t>
            </w:r>
          </w:p>
        </w:tc>
      </w:tr>
      <w:tr w14:paraId="2C00D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460BF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80F7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能力提升</w:t>
            </w:r>
          </w:p>
          <w:p w14:paraId="347575C0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2F147">
            <w:pPr>
              <w:widowControl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学生在 AI 赋能的多元化学习场景中表现出浓厚学习兴趣，积极参与互动探究、协作任务等各项教学活动，自主学习与创新思维能力得到有效提升。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EA68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10</w:t>
            </w:r>
          </w:p>
        </w:tc>
      </w:tr>
      <w:tr w14:paraId="149C3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9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9CC3A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合计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967E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100</w:t>
            </w:r>
          </w:p>
        </w:tc>
      </w:tr>
    </w:tbl>
    <w:p w14:paraId="755F129D">
      <w:pPr>
        <w:jc w:val="both"/>
        <w:rPr>
          <w:rFonts w:hint="eastAsia" w:ascii="微软雅黑" w:hAnsi="微软雅黑" w:eastAsia="微软雅黑" w:cs="微软雅黑"/>
          <w:color w:val="000000" w:themeColor="text1"/>
          <w:sz w:val="40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58818582">
      <w:pPr>
        <w:numPr>
          <w:ilvl w:val="0"/>
          <w:numId w:val="0"/>
        </w:numPr>
        <w:jc w:val="center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、AI教育智能体设计与应用</w:t>
      </w:r>
    </w:p>
    <w:p w14:paraId="75FAE2CF">
      <w:pPr>
        <w:numPr>
          <w:ilvl w:val="0"/>
          <w:numId w:val="0"/>
        </w:numPr>
        <w:ind w:left="0" w:leftChars="0" w:firstLine="560" w:firstLineChars="200"/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（一）材料清单</w:t>
      </w:r>
    </w:p>
    <w:p w14:paraId="4D481A3A">
      <w:pPr>
        <w:ind w:firstLine="560" w:firstLineChars="200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设计与应用报告：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包括智能体开发背景、拟解决的问题、核心功能、应用成效及创新性等；</w:t>
      </w:r>
    </w:p>
    <w:p w14:paraId="0C9697E6">
      <w:pPr>
        <w:ind w:firstLine="560" w:firstLineChars="200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2.作品展示视频：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时长10分钟内，展示智能体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核心搭建步骤，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核心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应用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功能及效果等；</w:t>
      </w:r>
    </w:p>
    <w:p w14:paraId="05CB8F08">
      <w:pPr>
        <w:ind w:firstLine="560" w:firstLineChars="200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3.作品诚信承诺书（附件4）；</w:t>
      </w:r>
    </w:p>
    <w:p w14:paraId="139D04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4.所有文档均以PDF格式报送（注意除承诺书外其余文档均不呈现完成人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单位和姓名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）。</w:t>
      </w:r>
    </w:p>
    <w:p w14:paraId="3F16DE09">
      <w:pPr>
        <w:numPr>
          <w:ilvl w:val="0"/>
          <w:numId w:val="0"/>
        </w:numPr>
        <w:ind w:left="0" w:leftChars="0" w:firstLine="560" w:firstLineChars="200"/>
        <w:rPr>
          <w:rFonts w:hint="default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（二）报告模板</w:t>
      </w:r>
    </w:p>
    <w:p w14:paraId="7B869EBE">
      <w:pPr>
        <w:ind w:firstLine="643" w:firstLineChars="200"/>
        <w:jc w:val="center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黑体" w:cs="Times New Roman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标题</w:t>
      </w:r>
      <w:r>
        <w:rPr>
          <w:rFonts w:hint="eastAsia" w:ascii="Times New Roman" w:hAnsi="Times New Roman" w:eastAsia="黑体" w:cs="Times New Roman"/>
          <w:b/>
          <w:bCs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（黑体三号）</w:t>
      </w:r>
    </w:p>
    <w:p w14:paraId="2DB1547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156" w:afterLines="50" w:line="560" w:lineRule="exact"/>
        <w:ind w:firstLine="482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  <w:t>【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简介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  <w:t>】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  <w:t>（描述案例内容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概要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  <w:t>，反映案例的特色，150字左右）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）</w:t>
      </w:r>
    </w:p>
    <w:p w14:paraId="673864C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156" w:afterLines="50" w:line="56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  <w:t>【关键词】关键词1；关键词2；关键词3（不超过3个）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）</w:t>
      </w:r>
    </w:p>
    <w:p w14:paraId="22800C0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156" w:afterLines="50" w:line="56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  <w:t>【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智能体链接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  <w:t>】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请添加开发好可运行的智能体链接或二维码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）</w:t>
      </w:r>
    </w:p>
    <w:p w14:paraId="18FF6A4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ascii="Times New Roman" w:hAnsi="Times New Roman" w:eastAsia="黑体"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开发背景</w:t>
      </w:r>
      <w:r>
        <w:rPr>
          <w:rFonts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（小四号黑体）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00字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以内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4F0EC035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XXXXXX（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7018F7AD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正文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43D636D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1.三级标题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57F4D5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ascii="Times New Roman" w:hAnsi="Times New Roman" w:eastAsia="黑体"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拟解决的问题</w:t>
      </w:r>
      <w:r>
        <w:rPr>
          <w:rFonts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（小四号黑体）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（500字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以内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5D5502C6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XXXXXX（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46484CB6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正文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5D1B05B7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1.三级标题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3DF2F2C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ascii="Times New Roman" w:hAnsi="Times New Roman" w:eastAsia="黑体"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核心功能</w:t>
      </w:r>
      <w:r>
        <w:rPr>
          <w:rFonts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（小四号黑体）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00字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以内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1E1E056C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XXXXXX（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53807D40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正文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275B0D60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1.三级标题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523EE6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ascii="Times New Roman" w:hAnsi="Times New Roman" w:eastAsia="黑体"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应用</w:t>
      </w:r>
      <w:r>
        <w:rPr>
          <w:rFonts w:hint="eastAsia"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成效</w:t>
      </w:r>
      <w:r>
        <w:rPr>
          <w:rFonts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（小四号黑体）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（500字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以内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4CCA6A79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XXXXXX（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070DC7A8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正文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7BEDE716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1.三级标题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0EFA894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ascii="Times New Roman" w:hAnsi="Times New Roman" w:eastAsia="黑体"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创新性</w:t>
      </w:r>
      <w:r>
        <w:rPr>
          <w:rFonts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（小四号黑体）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00字以内）</w:t>
      </w:r>
    </w:p>
    <w:p w14:paraId="1930B2CA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XXXXXX（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5AF83B06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正文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3013BE29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1.三级标题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55B33F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left="0" w:leftChars="0" w:firstLine="560" w:firstLineChars="200"/>
        <w:textAlignment w:val="auto"/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（三）评分细则</w:t>
      </w:r>
    </w:p>
    <w:tbl>
      <w:tblPr>
        <w:tblStyle w:val="19"/>
        <w:tblW w:w="88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05"/>
        <w:gridCol w:w="1850"/>
        <w:gridCol w:w="5020"/>
        <w:gridCol w:w="735"/>
      </w:tblGrid>
      <w:tr w14:paraId="4DBB2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0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C962A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评分维度</w:t>
            </w:r>
          </w:p>
        </w:tc>
        <w:tc>
          <w:tcPr>
            <w:tcW w:w="18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F3D75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评分项</w:t>
            </w:r>
          </w:p>
        </w:tc>
        <w:tc>
          <w:tcPr>
            <w:tcW w:w="502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EEAB5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评分标准</w:t>
            </w:r>
          </w:p>
        </w:tc>
        <w:tc>
          <w:tcPr>
            <w:tcW w:w="7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A374D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分值</w:t>
            </w:r>
          </w:p>
        </w:tc>
      </w:tr>
      <w:tr w14:paraId="71352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05" w:type="dxa"/>
            <w:vMerge w:val="restar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04659A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创新性 (30分)</w:t>
            </w:r>
          </w:p>
        </w:tc>
        <w:tc>
          <w:tcPr>
            <w:tcW w:w="18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D94D5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功能创新性</w:t>
            </w:r>
          </w:p>
        </w:tc>
        <w:tc>
          <w:tcPr>
            <w:tcW w:w="502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A9135B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基于生成式 AI 技术设计具有新颖性的教育智能体功能，针对性解决“教学育评管研建”七大场景中的实际需求</w:t>
            </w:r>
          </w:p>
        </w:tc>
        <w:tc>
          <w:tcPr>
            <w:tcW w:w="7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E1AE2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12</w:t>
            </w:r>
          </w:p>
        </w:tc>
      </w:tr>
      <w:tr w14:paraId="66070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05" w:type="dxa"/>
            <w:vMerge w:val="continue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2D573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F018F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教育理念融合</w:t>
            </w:r>
          </w:p>
        </w:tc>
        <w:tc>
          <w:tcPr>
            <w:tcW w:w="502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841C54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深度契合新课标/核心素养要求，紧扣“未来教育”理念，通过智能体实现教学提质、学习变革、育人进阶等目标</w:t>
            </w:r>
          </w:p>
        </w:tc>
        <w:tc>
          <w:tcPr>
            <w:tcW w:w="7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256EE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10</w:t>
            </w:r>
          </w:p>
        </w:tc>
      </w:tr>
      <w:tr w14:paraId="1FBD9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05" w:type="dxa"/>
            <w:vMerge w:val="continue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4775C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69E29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场景适配性</w:t>
            </w:r>
          </w:p>
        </w:tc>
        <w:tc>
          <w:tcPr>
            <w:tcW w:w="502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806E0C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针对“教学育评管研建”七大场景之一或多个场景进行定制化设计，智能体功能与特定教育场景需求高度匹配，适配性强、实用价值高</w:t>
            </w:r>
          </w:p>
        </w:tc>
        <w:tc>
          <w:tcPr>
            <w:tcW w:w="7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47A5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8</w:t>
            </w:r>
          </w:p>
        </w:tc>
      </w:tr>
      <w:tr w14:paraId="70581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05" w:type="dxa"/>
            <w:vMerge w:val="restar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3A487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技术实现 (25分)</w:t>
            </w:r>
          </w:p>
        </w:tc>
        <w:tc>
          <w:tcPr>
            <w:tcW w:w="18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C3A6D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算法先进性</w:t>
            </w:r>
          </w:p>
        </w:tc>
        <w:tc>
          <w:tcPr>
            <w:tcW w:w="502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6A0643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采用生成式 AI 大模型、强化学习等前沿 AI 技术，技术架构合理先进，能支撑智能体在教育场景中的复杂应用需求</w:t>
            </w:r>
          </w:p>
        </w:tc>
        <w:tc>
          <w:tcPr>
            <w:tcW w:w="7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92376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10</w:t>
            </w:r>
          </w:p>
        </w:tc>
      </w:tr>
      <w:tr w14:paraId="06753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05" w:type="dxa"/>
            <w:vMerge w:val="continue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9B03D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CCEAD1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系统稳定性</w:t>
            </w:r>
          </w:p>
        </w:tc>
        <w:tc>
          <w:tcPr>
            <w:tcW w:w="502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498AE7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智能体运行流畅稳定，具备良好的容错处理能力，可适应不同教学环境下的常态化使用，无明显技术故障</w:t>
            </w:r>
          </w:p>
        </w:tc>
        <w:tc>
          <w:tcPr>
            <w:tcW w:w="7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75CF4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8</w:t>
            </w:r>
          </w:p>
        </w:tc>
      </w:tr>
      <w:tr w14:paraId="050A0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05" w:type="dxa"/>
            <w:vMerge w:val="continue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48436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7B042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数据应用</w:t>
            </w:r>
          </w:p>
        </w:tc>
        <w:tc>
          <w:tcPr>
            <w:tcW w:w="502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E37050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严格遵循教育数据合规要求，规范采集、存储与使用教学相关数据，能通过数据挖掘、分析为“教学育评管研”提供有效支撑</w:t>
            </w:r>
          </w:p>
        </w:tc>
        <w:tc>
          <w:tcPr>
            <w:tcW w:w="7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B135C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7</w:t>
            </w:r>
          </w:p>
        </w:tc>
      </w:tr>
      <w:tr w14:paraId="5831F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05" w:type="dxa"/>
            <w:vMerge w:val="restar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48129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教学应用 (25分)</w:t>
            </w:r>
          </w:p>
        </w:tc>
        <w:tc>
          <w:tcPr>
            <w:tcW w:w="18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55E15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应用场景</w:t>
            </w:r>
          </w:p>
        </w:tc>
        <w:tc>
          <w:tcPr>
            <w:tcW w:w="502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5F0E43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“教学育评管研建”七大教育场景，或在某一细分场景中实现深度渗透，应用环节完整，能贯穿教育教学全流程</w:t>
            </w:r>
          </w:p>
        </w:tc>
        <w:tc>
          <w:tcPr>
            <w:tcW w:w="7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4E6EE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10</w:t>
            </w:r>
          </w:p>
        </w:tc>
      </w:tr>
      <w:tr w14:paraId="3FA9E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05" w:type="dxa"/>
            <w:vMerge w:val="continue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F547D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75D6C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实际效果</w:t>
            </w:r>
          </w:p>
        </w:tc>
        <w:tc>
          <w:tcPr>
            <w:tcW w:w="502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6976DA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教学提质、学习变革、评价增效等应用效果可通过数据、案例等方式验证，能显著提升教学效率、学习质量或管理/研究水平</w:t>
            </w:r>
          </w:p>
        </w:tc>
        <w:tc>
          <w:tcPr>
            <w:tcW w:w="7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AAE7A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8</w:t>
            </w:r>
          </w:p>
        </w:tc>
      </w:tr>
      <w:tr w14:paraId="76044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atLeast"/>
        </w:trPr>
        <w:tc>
          <w:tcPr>
            <w:tcW w:w="1205" w:type="dxa"/>
            <w:vMerge w:val="continue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46CFE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096C1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可推广性</w:t>
            </w:r>
          </w:p>
        </w:tc>
        <w:tc>
          <w:tcPr>
            <w:tcW w:w="502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E985DD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智能体适配不同地区、不同类型学校的教育场景需求，操作门槛适中，具备规模化推广与复用的潜力</w:t>
            </w:r>
          </w:p>
        </w:tc>
        <w:tc>
          <w:tcPr>
            <w:tcW w:w="7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DA70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7</w:t>
            </w:r>
          </w:p>
        </w:tc>
      </w:tr>
      <w:tr w14:paraId="0FB14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6" w:hRule="atLeast"/>
        </w:trPr>
        <w:tc>
          <w:tcPr>
            <w:tcW w:w="1205" w:type="dxa"/>
            <w:vMerge w:val="restar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EDED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用户体验 (15分)</w:t>
            </w:r>
          </w:p>
        </w:tc>
        <w:tc>
          <w:tcPr>
            <w:tcW w:w="18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C2C37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界面交互</w:t>
            </w:r>
          </w:p>
        </w:tc>
        <w:tc>
          <w:tcPr>
            <w:tcW w:w="502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D200EFE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界面设计符合师生及教育管理者使用习惯，操作简洁直观、交互逻辑清晰，降低用户使用成本</w:t>
            </w:r>
          </w:p>
        </w:tc>
        <w:tc>
          <w:tcPr>
            <w:tcW w:w="7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20CBA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8</w:t>
            </w:r>
          </w:p>
        </w:tc>
      </w:tr>
      <w:tr w14:paraId="2D3A6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7" w:hRule="atLeast"/>
        </w:trPr>
        <w:tc>
          <w:tcPr>
            <w:tcW w:w="1205" w:type="dxa"/>
            <w:vMerge w:val="continue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814157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2C5B6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响应效率</w:t>
            </w:r>
          </w:p>
        </w:tc>
        <w:tc>
          <w:tcPr>
            <w:tcW w:w="502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2D7490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智能体在“教学育评管研建”场景中的指令响应实时性强，数据处理、功能反馈准确高效，能满足教育教学实时性需求</w:t>
            </w:r>
          </w:p>
        </w:tc>
        <w:tc>
          <w:tcPr>
            <w:tcW w:w="7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E08E7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7</w:t>
            </w:r>
          </w:p>
        </w:tc>
      </w:tr>
      <w:tr w14:paraId="7F9CE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3" w:hRule="atLeast"/>
        </w:trPr>
        <w:tc>
          <w:tcPr>
            <w:tcW w:w="1205" w:type="dxa"/>
            <w:vMerge w:val="restar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769CF3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文档与展示 (5分)</w:t>
            </w:r>
          </w:p>
        </w:tc>
        <w:tc>
          <w:tcPr>
            <w:tcW w:w="18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0AA4E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技术文档</w:t>
            </w:r>
          </w:p>
        </w:tc>
        <w:tc>
          <w:tcPr>
            <w:tcW w:w="502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355694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技术文档完整规范，清晰说明教育智能体的系统架构、算法原理、功能设计及与“教学育评管研”场景的融合逻辑</w:t>
            </w:r>
          </w:p>
        </w:tc>
        <w:tc>
          <w:tcPr>
            <w:tcW w:w="7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4449BE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</w:t>
            </w:r>
          </w:p>
        </w:tc>
      </w:tr>
      <w:tr w14:paraId="37621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1" w:hRule="atLeast"/>
        </w:trPr>
        <w:tc>
          <w:tcPr>
            <w:tcW w:w="1205" w:type="dxa"/>
            <w:vMerge w:val="continue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1CA71B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3AEFE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演示效果</w:t>
            </w:r>
          </w:p>
        </w:tc>
        <w:tc>
          <w:tcPr>
            <w:tcW w:w="502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4A40AA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现场演示逻辑清晰、重点突出，能直观展现智能体在教育场景中的应用价值与创新点，具有较强的说服力与感染力</w:t>
            </w:r>
          </w:p>
        </w:tc>
        <w:tc>
          <w:tcPr>
            <w:tcW w:w="7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691A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</w:tr>
      <w:tr w14:paraId="50699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075" w:type="dxa"/>
            <w:gridSpan w:val="3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2FBC8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合计</w:t>
            </w:r>
          </w:p>
        </w:tc>
        <w:tc>
          <w:tcPr>
            <w:tcW w:w="7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D7DFB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100</w:t>
            </w:r>
          </w:p>
        </w:tc>
      </w:tr>
    </w:tbl>
    <w:p w14:paraId="00E86D02">
      <w:pPr>
        <w:jc w:val="center"/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758783C">
      <w:pPr>
        <w:jc w:val="center"/>
        <w:rPr>
          <w:rFonts w:hint="eastAsia" w:ascii="微软雅黑" w:hAnsi="微软雅黑" w:eastAsia="微软雅黑" w:cs="微软雅黑"/>
          <w:color w:val="000000" w:themeColor="text1"/>
          <w:sz w:val="40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AI 助力课外全场景减负增效</w:t>
      </w:r>
    </w:p>
    <w:p w14:paraId="28B220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8" w:firstLineChars="228"/>
        <w:textAlignment w:val="auto"/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（一）材料清单</w:t>
      </w:r>
    </w:p>
    <w:p w14:paraId="6E27AA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陈述性报告、作品诚信承诺书（附件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），所有文档均以PDF格式报送（注意除承诺书外其余文档均不呈现完成人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单位和姓名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）。</w:t>
      </w:r>
    </w:p>
    <w:p w14:paraId="103AD923">
      <w:pPr>
        <w:numPr>
          <w:ilvl w:val="0"/>
          <w:numId w:val="0"/>
        </w:numPr>
        <w:ind w:firstLine="560" w:firstLineChars="200"/>
        <w:rPr>
          <w:rFonts w:hint="default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（二）参考</w:t>
      </w:r>
      <w:r>
        <w:rPr>
          <w:rFonts w:hint="default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模板</w:t>
      </w:r>
    </w:p>
    <w:p w14:paraId="0591737A">
      <w:pPr>
        <w:widowControl w:val="0"/>
        <w:spacing w:before="240" w:after="156" w:afterLines="50"/>
        <w:ind w:firstLine="0" w:firstLineChars="0"/>
        <w:jc w:val="center"/>
        <w:outlineLvl w:val="0"/>
        <w:rPr>
          <w:rFonts w:ascii="Times New Roman" w:hAnsi="Times New Roman" w:eastAsia="黑体" w:cs="Times New Roman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标题（黑体三号）</w:t>
      </w:r>
    </w:p>
    <w:p w14:paraId="1DE1C3B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156" w:afterLines="50" w:line="560" w:lineRule="exact"/>
        <w:ind w:firstLine="482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  <w:t>【摘要】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  <w:t>（描述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报告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  <w:t>内容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概要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  <w:t>，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重点反映GenAI助力课外教师减负增效的具体经验、实操做法，明确应用场景与核心思路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  <w:t>，150字左右）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）</w:t>
      </w:r>
    </w:p>
    <w:p w14:paraId="26609A3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156" w:afterLines="50" w:line="560" w:lineRule="exact"/>
        <w:ind w:firstLine="482" w:firstLineChars="200"/>
        <w:textAlignment w:val="auto"/>
        <w:rPr>
          <w:rFonts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  <w:t>【关键词】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  <w:t>关键词1；关键词2；关键词3（不超过3个）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）</w:t>
      </w:r>
    </w:p>
    <w:p w14:paraId="3B887F2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报告背景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（小四号黑体）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（500字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以内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7B710F26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XXXXXX（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13697C4E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正文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7A6B4C6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1.三级标题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1D2C70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黑体" w:hAnsi="黑体" w:eastAsia="黑体" w:cs="黑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黑体" w:hAnsi="黑体" w:eastAsia="黑体" w:cs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拟解决的问题</w:t>
      </w:r>
      <w:r>
        <w:rPr>
          <w:rFonts w:hint="eastAsia" w:ascii="黑体" w:hAnsi="黑体" w:eastAsia="黑体" w:cs="黑体"/>
          <w:bCs/>
          <w:color w:val="000000" w:themeColor="text1"/>
          <w:kern w:val="0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小四号黑体）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（500字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以内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4E15D071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XXXXXX（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30DBEBC0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正文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3763BC8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1.三级标题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162B54D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黑体" w:hAnsi="黑体" w:eastAsia="黑体" w:cs="黑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、解决问题的方案或措施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（小四号黑体）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000字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以内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3CC1F5D4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XXXXXX（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6FB5E1A8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正文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07BF5FD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1.三级标题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1B017B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黑体" w:hAnsi="黑体" w:eastAsia="黑体" w:cs="黑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黑体" w:hAnsi="黑体" w:eastAsia="黑体" w:cs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取得的</w:t>
      </w:r>
      <w:r>
        <w:rPr>
          <w:rFonts w:hint="eastAsia" w:ascii="黑体" w:hAnsi="黑体" w:eastAsia="黑体" w:cs="黑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成效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（小四号黑体）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（500字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以内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42BCC275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XXXXXX（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5AD8F00E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正文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4AEE7AB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1.三级标题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29E4FA3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黑体" w:hAnsi="黑体" w:eastAsia="黑体" w:cs="黑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、特色与创新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（小四号黑体）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（800字以内）</w:t>
      </w:r>
    </w:p>
    <w:p w14:paraId="78FC5B13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XXXXXX（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47F64881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正文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609E74AC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318"/>
          <w:tab w:val="left" w:pos="360"/>
          <w:tab w:val="clear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三级标题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0648CB36">
      <w:pPr>
        <w:numPr>
          <w:ilvl w:val="0"/>
          <w:numId w:val="0"/>
        </w:numPr>
        <w:ind w:firstLine="560" w:firstLineChars="200"/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（三）评分细则</w:t>
      </w:r>
    </w:p>
    <w:tbl>
      <w:tblPr>
        <w:tblStyle w:val="1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23"/>
        <w:gridCol w:w="1510"/>
        <w:gridCol w:w="4347"/>
        <w:gridCol w:w="753"/>
      </w:tblGrid>
      <w:tr w14:paraId="3D8C4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9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CA155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评分维度</w:t>
            </w:r>
          </w:p>
        </w:tc>
        <w:tc>
          <w:tcPr>
            <w:tcW w:w="15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527C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评分项</w:t>
            </w:r>
          </w:p>
        </w:tc>
        <w:tc>
          <w:tcPr>
            <w:tcW w:w="434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328B7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评分标准</w:t>
            </w:r>
          </w:p>
        </w:tc>
        <w:tc>
          <w:tcPr>
            <w:tcW w:w="75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AB328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分值</w:t>
            </w:r>
          </w:p>
        </w:tc>
      </w:tr>
      <w:tr w14:paraId="6581B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923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7C75CD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价值引领</w:t>
            </w:r>
          </w:p>
          <w:p w14:paraId="3B9C714F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（15分）</w:t>
            </w:r>
          </w:p>
        </w:tc>
        <w:tc>
          <w:tcPr>
            <w:tcW w:w="15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83A922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背景贴合度</w:t>
            </w:r>
          </w:p>
        </w:tc>
        <w:tc>
          <w:tcPr>
            <w:tcW w:w="434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DA1379">
            <w:pPr>
              <w:spacing w:before="120" w:after="120" w:line="288" w:lineRule="auto"/>
              <w:ind w:left="0"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聚焦课外教师重复性工作负担，贴合数智时代教师专业发展实际需求，凸显GenAI助力课外减负的必要性、普遍性。</w:t>
            </w:r>
          </w:p>
        </w:tc>
        <w:tc>
          <w:tcPr>
            <w:tcW w:w="75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1EF363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7247C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923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852A21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0BC33A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痛点分析</w:t>
            </w:r>
          </w:p>
        </w:tc>
        <w:tc>
          <w:tcPr>
            <w:tcW w:w="434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F84E50">
            <w:pPr>
              <w:spacing w:before="120" w:after="120" w:line="288" w:lineRule="auto"/>
              <w:ind w:left="0"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精准定位课外教师课外工作核心痛点，需求分析有逻辑性，可结合教师工作实际数据支撑。</w:t>
            </w:r>
          </w:p>
        </w:tc>
        <w:tc>
          <w:tcPr>
            <w:tcW w:w="75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BAE6E5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6461F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923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3E1322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GenAI技术应用</w:t>
            </w:r>
          </w:p>
          <w:p w14:paraId="5160A847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（35分）</w:t>
            </w:r>
          </w:p>
        </w:tc>
        <w:tc>
          <w:tcPr>
            <w:tcW w:w="15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116619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技术适配性</w:t>
            </w:r>
          </w:p>
        </w:tc>
        <w:tc>
          <w:tcPr>
            <w:tcW w:w="434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30AF60">
            <w:pPr>
              <w:spacing w:before="120" w:after="120" w:line="288" w:lineRule="auto"/>
              <w:ind w:left="0"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GenAI技术选择与课外教师减负场景（备课、命题、家校沟通等）匹配度高，应用场景合理，贴合课外工作实际。</w:t>
            </w:r>
          </w:p>
        </w:tc>
        <w:tc>
          <w:tcPr>
            <w:tcW w:w="75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22BE34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7D2EC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923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84B9FB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193EB6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应用创新性</w:t>
            </w:r>
          </w:p>
        </w:tc>
        <w:tc>
          <w:tcPr>
            <w:tcW w:w="434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09741A">
            <w:pPr>
              <w:spacing w:before="120" w:after="120" w:line="288" w:lineRule="auto"/>
              <w:ind w:left="0"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GenAI应用突破传统课外减负方式，在工具适配、操作流程、经验提炼等方面体现创新性，凸显GenAI技术独特优势。</w:t>
            </w:r>
          </w:p>
        </w:tc>
        <w:tc>
          <w:tcPr>
            <w:tcW w:w="75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BC7607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 w14:paraId="094EB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923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D7183E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3160C1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安全可靠性</w:t>
            </w:r>
          </w:p>
        </w:tc>
        <w:tc>
          <w:tcPr>
            <w:tcW w:w="434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DC4FAD">
            <w:pPr>
              <w:spacing w:before="120" w:after="120" w:line="288" w:lineRule="auto"/>
              <w:ind w:left="0"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技术落地具有可行性，操作流程规范，符合教育数据安全、伦理规范，适配教师课外工作场景。</w:t>
            </w:r>
          </w:p>
        </w:tc>
        <w:tc>
          <w:tcPr>
            <w:tcW w:w="75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DF25DC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5A7D4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923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ECECE4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实施成效</w:t>
            </w:r>
          </w:p>
          <w:p w14:paraId="45CDEAA5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5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6BBA70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成效客观</w:t>
            </w:r>
          </w:p>
        </w:tc>
        <w:tc>
          <w:tcPr>
            <w:tcW w:w="434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C9CCAA">
            <w:pPr>
              <w:spacing w:before="120" w:after="120" w:line="288" w:lineRule="auto"/>
              <w:ind w:left="0"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通过量化数据（如工作耗时减少比例）或共性反馈，验证GenAI助力课外教师减负、增效的实际成效。</w:t>
            </w:r>
          </w:p>
        </w:tc>
        <w:tc>
          <w:tcPr>
            <w:tcW w:w="75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8DB41A">
            <w:pPr>
              <w:spacing w:before="120" w:after="120" w:line="288" w:lineRule="auto"/>
              <w:ind w:left="0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66A39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923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1524BD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8545DA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可持续性</w:t>
            </w:r>
          </w:p>
        </w:tc>
        <w:tc>
          <w:tcPr>
            <w:tcW w:w="434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56C9B4">
            <w:pPr>
              <w:spacing w:before="120" w:after="120" w:line="288" w:lineRule="auto"/>
              <w:ind w:left="0"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提炼的实操经验、应用方案可形成长效机制，能够长期支撑课外教师减负增效，具有可延续性。</w:t>
            </w:r>
          </w:p>
        </w:tc>
        <w:tc>
          <w:tcPr>
            <w:tcW w:w="75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97F266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 w14:paraId="738E5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923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2C3026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示范价值</w:t>
            </w:r>
          </w:p>
          <w:p w14:paraId="06704B0E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5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C2B9DA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普适性</w:t>
            </w:r>
          </w:p>
        </w:tc>
        <w:tc>
          <w:tcPr>
            <w:tcW w:w="434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C1243C">
            <w:pPr>
              <w:spacing w:before="120" w:after="120" w:line="288" w:lineRule="auto"/>
              <w:ind w:left="0"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提供的GenAI应用方案、实操经验，可适配不同类型学校、不同学科教师的课外工作场景，具有广泛推广价值。</w:t>
            </w:r>
          </w:p>
        </w:tc>
        <w:tc>
          <w:tcPr>
            <w:tcW w:w="75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DDB0F2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77B04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923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B2CF4D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51B2F5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影响力</w:t>
            </w:r>
          </w:p>
        </w:tc>
        <w:tc>
          <w:tcPr>
            <w:tcW w:w="434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E17C77">
            <w:pPr>
              <w:spacing w:before="120" w:after="120" w:line="288" w:lineRule="auto"/>
              <w:ind w:left="0"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经验做法可辐射更多教师群体，对区域内课外教师减负增效工作具有借鉴意义，体现一定的行业影响力。</w:t>
            </w:r>
          </w:p>
        </w:tc>
        <w:tc>
          <w:tcPr>
            <w:tcW w:w="75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844EC7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355F2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78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AE9966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75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B8A0BE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</w:tbl>
    <w:p w14:paraId="6CBBCA9C">
      <w:pP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 w14:paraId="3393A84B">
      <w:pPr>
        <w:rPr>
          <w:rFonts w:hint="default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附件4</w:t>
      </w:r>
    </w:p>
    <w:p w14:paraId="4DF81BC6">
      <w:pPr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40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作品诚信承诺书</w:t>
      </w:r>
    </w:p>
    <w:p w14:paraId="771502D6">
      <w:pPr>
        <w:snapToGrid w:val="0"/>
        <w:spacing w:line="520" w:lineRule="exact"/>
        <w:rPr>
          <w:rFonts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大赛组委会：</w:t>
      </w:r>
    </w:p>
    <w:p w14:paraId="2A87C96B">
      <w:pPr>
        <w:snapToGrid w:val="0"/>
        <w:spacing w:line="520" w:lineRule="exact"/>
        <w:ind w:firstLine="560" w:firstLineChars="200"/>
        <w:jc w:val="left"/>
        <w:rPr>
          <w:rFonts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:u w:val="none"/>
          <w14:textFill>
            <w14:solidFill>
              <w14:schemeClr w14:val="tx1"/>
            </w14:solidFill>
          </w14:textFill>
        </w:rPr>
        <w:t>我们</w:t>
      </w:r>
      <w:r>
        <w:rPr>
          <w:rFonts w:hint="eastAsia" w:eastAsia="仿宋"/>
          <w:color w:val="000000" w:themeColor="text1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参赛作品为方向（），作品名称为：</w:t>
      </w:r>
      <w:r>
        <w:rPr>
          <w:rFonts w:hint="eastAsia" w:eastAsia="仿宋"/>
          <w:color w:val="000000" w:themeColor="text1"/>
          <w:sz w:val="28"/>
          <w:u w:val="none"/>
          <w14:textFill>
            <w14:solidFill>
              <w14:schemeClr w14:val="tx1"/>
            </w14:solidFill>
          </w14:textFill>
        </w:rPr>
        <w:t>《</w:t>
      </w:r>
      <w:r>
        <w:rPr>
          <w:rFonts w:eastAsia="仿宋"/>
          <w:color w:val="000000" w:themeColor="text1"/>
          <w:sz w:val="28"/>
          <w:u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eastAsia="仿宋"/>
          <w:color w:val="000000" w:themeColor="text1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eastAsia="仿宋"/>
          <w:color w:val="000000" w:themeColor="text1"/>
          <w:sz w:val="28"/>
          <w:u w:val="non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eastAsia="仿宋"/>
          <w:color w:val="000000" w:themeColor="text1"/>
          <w:sz w:val="28"/>
          <w:u w:val="none"/>
          <w14:textFill>
            <w14:solidFill>
              <w14:schemeClr w14:val="tx1"/>
            </w14:solidFill>
          </w14:textFill>
        </w:rPr>
        <w:t>》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我们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充分知晓大赛规则，并</w:t>
      </w:r>
      <w:r>
        <w:rPr>
          <w:rFonts w:hint="eastAsia" w:eastAsia="仿宋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向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四川省</w:t>
      </w: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第二届教师人工智能应用能力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大赛组委会作出如下承诺：</w:t>
      </w:r>
    </w:p>
    <w:p w14:paraId="2AB1C467">
      <w:pPr>
        <w:snapToGrid w:val="0"/>
        <w:spacing w:line="520" w:lineRule="exact"/>
        <w:ind w:firstLine="560" w:firstLineChars="200"/>
        <w:rPr>
          <w:rFonts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一、始终坚持正确的政治立场，严格按照大赛规程及相关要求报名参赛，服从大赛组委会统一</w:t>
      </w:r>
      <w:r>
        <w:rPr>
          <w:rFonts w:hint="eastAsia" w:eastAsia="仿宋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要求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和安排。</w:t>
      </w:r>
    </w:p>
    <w:p w14:paraId="6AC28A82">
      <w:pPr>
        <w:snapToGrid w:val="0"/>
        <w:spacing w:line="520" w:lineRule="exact"/>
        <w:ind w:firstLine="560" w:firstLineChars="200"/>
        <w:rPr>
          <w:rFonts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二、保证向大赛组委会提交的所有参赛材料（包括并不限于学校和团队成员</w:t>
      </w:r>
      <w:r>
        <w:rPr>
          <w:rFonts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/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个人信息以及参赛作品等）所含内容真实、有效、完整。</w:t>
      </w:r>
    </w:p>
    <w:p w14:paraId="20C7AA44">
      <w:pPr>
        <w:snapToGrid w:val="0"/>
        <w:spacing w:line="520" w:lineRule="exact"/>
        <w:ind w:firstLine="560" w:firstLineChars="200"/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三、提交的参赛作品是由承诺人独立完成的，作品内容真实可靠，不存在抄袭、造假等不端行为，所用原始数据具有可溯源性。</w:t>
      </w:r>
    </w:p>
    <w:p w14:paraId="60D44182">
      <w:pPr>
        <w:snapToGrid w:val="0"/>
        <w:spacing w:line="520" w:lineRule="exact"/>
        <w:ind w:firstLine="560" w:firstLineChars="200"/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四、曾参加和获得过本赛事奖项的作品不再参赛（一经发现取消参赛资格），在原有基础上进行创新及改进的作品除外。</w:t>
      </w:r>
    </w:p>
    <w:p w14:paraId="0224EB8E">
      <w:pPr>
        <w:snapToGrid w:val="0"/>
        <w:spacing w:line="520" w:lineRule="exact"/>
        <w:ind w:firstLine="560" w:firstLineChars="200"/>
        <w:rPr>
          <w:rFonts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、入围、获奖作品一经发现确认存在抄袭或者其他侵权行为，由参赛者承担全部后果。</w:t>
      </w:r>
    </w:p>
    <w:p w14:paraId="138B11FC">
      <w:pPr>
        <w:snapToGrid w:val="0"/>
        <w:spacing w:line="520" w:lineRule="exact"/>
        <w:ind w:firstLine="560" w:firstLineChars="200"/>
        <w:rPr>
          <w:rFonts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、主办单位有权对参赛作品进行公开展示、推广宣传。</w:t>
      </w:r>
    </w:p>
    <w:p w14:paraId="605444FC">
      <w:pPr>
        <w:snapToGrid w:val="0"/>
        <w:spacing w:line="520" w:lineRule="exact"/>
        <w:ind w:firstLine="560" w:firstLineChars="200"/>
        <w:rPr>
          <w:rFonts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、本承诺书自承诺人签字之日起生效，解释权归属大赛组委会。</w:t>
      </w:r>
    </w:p>
    <w:p w14:paraId="6B249368">
      <w:pPr>
        <w:snapToGrid w:val="0"/>
        <w:spacing w:line="520" w:lineRule="exact"/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390A8B96">
      <w:pPr>
        <w:snapToGrid w:val="0"/>
        <w:spacing w:line="520" w:lineRule="exact"/>
        <w:jc w:val="right"/>
        <w:rPr>
          <w:rFonts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承诺人</w:t>
      </w: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签字（</w:t>
      </w: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所有参赛人员</w:t>
      </w: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日期：</w:t>
      </w:r>
      <w:r>
        <w:rPr>
          <w:rFonts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年</w:t>
      </w:r>
      <w:r>
        <w:rPr>
          <w:rFonts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月</w:t>
      </w:r>
      <w:r>
        <w:rPr>
          <w:rFonts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日</w:t>
      </w:r>
      <w:r>
        <w:rPr>
          <w:rFonts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     </w:t>
      </w:r>
    </w:p>
    <w:p w14:paraId="3610B265">
      <w:pPr>
        <w:snapToGrid w:val="0"/>
        <w:spacing w:line="520" w:lineRule="exact"/>
        <w:jc w:val="right"/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</w:t>
      </w:r>
      <w:r>
        <w:rPr>
          <w:rFonts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 w14:paraId="205E3684">
      <w:pPr>
        <w:snapToGrid w:val="0"/>
        <w:spacing w:line="520" w:lineRule="exact"/>
        <w:jc w:val="right"/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学校（</w:t>
      </w: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）（</w:t>
      </w: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签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章）</w:t>
      </w:r>
    </w:p>
    <w:p w14:paraId="7B19C1DA">
      <w:pPr>
        <w:snapToGrid w:val="0"/>
        <w:spacing w:line="520" w:lineRule="exact"/>
        <w:jc w:val="right"/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3E6F2E59">
      <w:pPr>
        <w:rPr>
          <w:rFonts w:hint="default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附件5</w:t>
      </w:r>
    </w:p>
    <w:p w14:paraId="2D820BE4">
      <w:pPr>
        <w:jc w:val="center"/>
        <w:rPr>
          <w:rFonts w:hint="default" w:ascii="微软雅黑" w:hAnsi="微软雅黑" w:eastAsia="微软雅黑" w:cs="微软雅黑"/>
          <w:color w:val="000000" w:themeColor="text1"/>
          <w:sz w:val="40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40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专家库评委推荐通知</w:t>
      </w:r>
    </w:p>
    <w:p w14:paraId="7CA0E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为做好大赛评审工作，现面向各市（州）、各高校开展赛事专家库评委推荐工作。具体要求如下。</w:t>
      </w:r>
    </w:p>
    <w:p w14:paraId="2AA48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一、推荐要求及名额</w:t>
      </w:r>
    </w:p>
    <w:p w14:paraId="0841F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采取自愿推荐原则。各高校（含高等职业教育和普通高校）推荐评委不超过2人，各市（州）推荐评委均不超过3人。</w:t>
      </w:r>
    </w:p>
    <w:p w14:paraId="69DF6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二、推荐条件</w:t>
      </w:r>
    </w:p>
    <w:p w14:paraId="0B564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具有良好的师德师风、教学经验丰富的一线教师(原则上教龄10年以上)或教育信息化领域资深研究人员，推荐专家须具有副高及以上职称，且在人工智能教育创新应用、科学研究方面有高水平成果。</w:t>
      </w:r>
    </w:p>
    <w:p w14:paraId="30B39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firstLine="562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三、评委入库</w:t>
      </w:r>
    </w:p>
    <w:p w14:paraId="3D373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leftChars="0" w:firstLine="56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赛事组委会将对各单位</w:t>
      </w:r>
      <w:r>
        <w:rPr>
          <w:rFonts w:hint="default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推荐专家进行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资格审查</w:t>
      </w:r>
      <w:r>
        <w:rPr>
          <w:rFonts w:hint="default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符合大赛评审要求的专家将入库，并</w:t>
      </w:r>
      <w:r>
        <w:rPr>
          <w:rFonts w:hint="default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有资格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随机</w:t>
      </w:r>
      <w:r>
        <w:rPr>
          <w:rFonts w:hint="default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抽取为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大赛</w:t>
      </w:r>
      <w:r>
        <w:rPr>
          <w:rFonts w:hint="default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评委，参与大赛评审工作。</w:t>
      </w:r>
    </w:p>
    <w:p w14:paraId="7F569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firstLine="562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四、推荐时间及方式</w:t>
      </w:r>
    </w:p>
    <w:p w14:paraId="1BB52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leftChars="0" w:firstLine="56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</w:pPr>
      <w:r>
        <w:rPr>
          <w:rFonts w:hint="default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请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各市（州）、</w:t>
      </w:r>
      <w:r>
        <w:rPr>
          <w:rFonts w:hint="default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各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高校</w:t>
      </w:r>
      <w:r>
        <w:rPr>
          <w:rFonts w:hint="default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于2026年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7</w:t>
      </w:r>
      <w:r>
        <w:rPr>
          <w:rFonts w:hint="default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15</w:t>
      </w:r>
      <w:r>
        <w:rPr>
          <w:rFonts w:hint="default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日前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扫码填写问卷。</w:t>
      </w:r>
      <w:r>
        <w:rPr>
          <w:rFonts w:hint="default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并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通过邮件（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jsds@cdnu.edu.cn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）报送加盖推荐</w:t>
      </w:r>
      <w:r>
        <w:rPr>
          <w:rFonts w:hint="default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单位公章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的《大赛评委推荐信息表》（详见附件6）扫描件。</w:t>
      </w:r>
      <w:r>
        <w:rPr>
          <w:rFonts w:hint="default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逾期视为放弃推荐。</w:t>
      </w:r>
    </w:p>
    <w:p w14:paraId="45D38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left="0" w:leftChars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drawing>
          <wp:inline distT="0" distB="0" distL="114300" distR="114300">
            <wp:extent cx="1035685" cy="1035685"/>
            <wp:effectExtent l="9525" t="9525" r="21590" b="21590"/>
            <wp:docPr id="2" name="图片 2" descr="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rcod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5685" cy="103568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3CD0E4F0">
      <w:pP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3E3C431">
      <w:pPr>
        <w:rPr>
          <w:rFonts w:hint="default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附件6</w:t>
      </w:r>
    </w:p>
    <w:p w14:paraId="7DD66D37">
      <w:pPr>
        <w:jc w:val="center"/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大赛</w:t>
      </w: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评委推荐信息表</w:t>
      </w:r>
    </w:p>
    <w:tbl>
      <w:tblPr>
        <w:tblStyle w:val="2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692"/>
        <w:gridCol w:w="1320"/>
        <w:gridCol w:w="1740"/>
        <w:gridCol w:w="1570"/>
        <w:gridCol w:w="1565"/>
      </w:tblGrid>
      <w:tr w14:paraId="2B1C4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</w:tcPr>
          <w:p w14:paraId="46B53BA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692" w:type="dxa"/>
          </w:tcPr>
          <w:p w14:paraId="69780DD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</w:tcPr>
          <w:p w14:paraId="0C5858C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教龄</w:t>
            </w:r>
          </w:p>
        </w:tc>
        <w:tc>
          <w:tcPr>
            <w:tcW w:w="1740" w:type="dxa"/>
          </w:tcPr>
          <w:p w14:paraId="020F402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0" w:type="dxa"/>
          </w:tcPr>
          <w:p w14:paraId="1FC904D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1565" w:type="dxa"/>
          </w:tcPr>
          <w:p w14:paraId="0455E31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6DA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</w:tcPr>
          <w:p w14:paraId="5CDDC21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692" w:type="dxa"/>
          </w:tcPr>
          <w:p w14:paraId="58B30B7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</w:tcPr>
          <w:p w14:paraId="31D0724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740" w:type="dxa"/>
          </w:tcPr>
          <w:p w14:paraId="07CB12E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0" w:type="dxa"/>
          </w:tcPr>
          <w:p w14:paraId="3F9654C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565" w:type="dxa"/>
          </w:tcPr>
          <w:p w14:paraId="227FA79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1B1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57" w:type="dxa"/>
            <w:gridSpan w:val="6"/>
          </w:tcPr>
          <w:p w14:paraId="184C094C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人工智能教育应用、研究的主要成果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】</w:t>
            </w:r>
          </w:p>
          <w:p w14:paraId="61255CFC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49776D1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56032C0F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3FDA45F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14A39BB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6A6C2B7D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03B56DD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8A4E22B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6ED4E22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73039CDB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6CE21232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CF20AC7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3EB9FA3C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794312D2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108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57" w:type="dxa"/>
            <w:gridSpan w:val="6"/>
          </w:tcPr>
          <w:p w14:paraId="55E49716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推荐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评审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赛道】</w:t>
            </w:r>
          </w:p>
        </w:tc>
      </w:tr>
      <w:tr w14:paraId="560C1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57" w:type="dxa"/>
            <w:gridSpan w:val="6"/>
            <w:shd w:val="clear" w:color="auto" w:fill="auto"/>
            <w:vAlign w:val="center"/>
          </w:tcPr>
          <w:p w14:paraId="14067638">
            <w:pPr>
              <w:widowControl/>
              <w:snapToGrid w:val="0"/>
              <w:ind w:firstLine="1120" w:firstLineChars="40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AI赋能教学创新应用课例</w:t>
            </w:r>
          </w:p>
        </w:tc>
      </w:tr>
      <w:tr w14:paraId="1D178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57" w:type="dxa"/>
            <w:gridSpan w:val="6"/>
            <w:shd w:val="clear" w:color="auto" w:fill="auto"/>
            <w:vAlign w:val="center"/>
          </w:tcPr>
          <w:p w14:paraId="22120DED">
            <w:pPr>
              <w:widowControl/>
              <w:snapToGrid w:val="0"/>
              <w:ind w:firstLine="1120" w:firstLineChars="40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AI教育智能体设计与应用</w:t>
            </w:r>
          </w:p>
        </w:tc>
      </w:tr>
      <w:tr w14:paraId="0A60C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57" w:type="dxa"/>
            <w:gridSpan w:val="6"/>
            <w:shd w:val="clear" w:color="auto" w:fill="auto"/>
            <w:vAlign w:val="center"/>
          </w:tcPr>
          <w:p w14:paraId="6ED1690D">
            <w:pPr>
              <w:widowControl/>
              <w:snapToGrid w:val="0"/>
              <w:ind w:firstLine="1120" w:firstLineChars="40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AI助力课外全场景减负增效</w:t>
            </w:r>
          </w:p>
        </w:tc>
      </w:tr>
      <w:tr w14:paraId="7F2C6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57" w:type="dxa"/>
            <w:gridSpan w:val="6"/>
            <w:shd w:val="clear" w:color="auto" w:fill="auto"/>
            <w:vAlign w:val="center"/>
          </w:tcPr>
          <w:p w14:paraId="28077CFB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【推荐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意见】</w:t>
            </w:r>
          </w:p>
          <w:p w14:paraId="166EEBF3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6B5ADDE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98C6128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55B51172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盖章</w:t>
            </w:r>
          </w:p>
          <w:p w14:paraId="29A7D34A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9F136A0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日期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年   月   </w:t>
            </w:r>
            <w:r>
              <w:rPr>
                <w:rStyle w:val="44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20843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5328867-238B-4190-BA44-FB5B5712A1E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E37157A-00EC-4C1A-9A3A-B26C400E74C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E0A61AFF-3774-4AFB-8BE5-69625D22817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0A37340-B686-4AE6-B2FE-3D0E2F2B5B8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458ACBA3-DD97-4562-BEC6-6BD279C0133F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61696745-DD31-4A5B-BE87-87B7C0646DC4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7" w:fontKey="{D46096D7-CEE6-4578-8B60-3BF46C6AE7C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3AA48F">
    <w:pPr>
      <w:pStyle w:val="12"/>
      <w:ind w:right="280"/>
      <w:jc w:val="right"/>
      <w:rPr>
        <w:rFonts w:hint="eastAsia"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—</w:t>
    </w:r>
    <w:r>
      <w:rPr>
        <w:rFonts w:ascii="宋体" w:hAnsi="宋体" w:eastAsia="宋体"/>
        <w:sz w:val="28"/>
        <w:szCs w:val="28"/>
      </w:rPr>
      <w:t xml:space="preserve"> </w:t>
    </w:r>
    <w:sdt>
      <w:sdtPr>
        <w:rPr>
          <w:rFonts w:ascii="宋体" w:hAnsi="宋体" w:eastAsia="宋体"/>
          <w:sz w:val="28"/>
          <w:szCs w:val="28"/>
        </w:rPr>
        <w:id w:val="1368099489"/>
        <w:docPartObj>
          <w:docPartGallery w:val="autotext"/>
        </w:docPartObj>
      </w:sdtPr>
      <w:sdtEndPr>
        <w:rPr>
          <w:rFonts w:ascii="宋体" w:hAnsi="宋体" w:eastAsia="宋体"/>
          <w:sz w:val="28"/>
          <w:szCs w:val="28"/>
        </w:rPr>
      </w:sdtEndPr>
      <w:sdtContent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</w:t>
        </w:r>
      </w:sdtContent>
    </w:sdt>
    <w:r>
      <w:rPr>
        <w:rFonts w:hint="eastAsia" w:ascii="宋体" w:hAnsi="宋体" w:eastAsia="宋体"/>
        <w:sz w:val="28"/>
        <w:szCs w:val="28"/>
      </w:rPr>
      <w:t>—</w:t>
    </w:r>
  </w:p>
  <w:p w14:paraId="03E53E3C">
    <w:pPr>
      <w:pStyle w:val="12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0757C2">
    <w:pPr>
      <w:pStyle w:val="12"/>
      <w:ind w:firstLine="280" w:firstLineChars="100"/>
      <w:rPr>
        <w:rFonts w:hint="eastAsia"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—</w:t>
    </w:r>
    <w:r>
      <w:rPr>
        <w:rFonts w:ascii="宋体" w:hAnsi="宋体" w:eastAsia="宋体"/>
        <w:sz w:val="28"/>
        <w:szCs w:val="28"/>
      </w:rPr>
      <w:t xml:space="preserve"> </w:t>
    </w:r>
    <w:sdt>
      <w:sdtPr>
        <w:rPr>
          <w:rFonts w:ascii="宋体" w:hAnsi="宋体" w:eastAsia="宋体"/>
          <w:sz w:val="28"/>
          <w:szCs w:val="28"/>
        </w:rPr>
        <w:id w:val="-1"/>
        <w:docPartObj>
          <w:docPartGallery w:val="autotext"/>
        </w:docPartObj>
      </w:sdtPr>
      <w:sdtEndPr>
        <w:rPr>
          <w:rFonts w:ascii="宋体" w:hAnsi="宋体" w:eastAsia="宋体"/>
          <w:sz w:val="28"/>
          <w:szCs w:val="28"/>
        </w:rPr>
      </w:sdtEndPr>
      <w:sdtContent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—</w:t>
        </w:r>
      </w:sdtContent>
    </w:sdt>
  </w:p>
  <w:p w14:paraId="13DAC626">
    <w:pPr>
      <w:pStyle w:val="12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2B3BE3"/>
    <w:multiLevelType w:val="singleLevel"/>
    <w:tmpl w:val="ED2B3BE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4217CA7"/>
    <w:multiLevelType w:val="singleLevel"/>
    <w:tmpl w:val="24217CA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77F"/>
    <w:rsid w:val="00003757"/>
    <w:rsid w:val="00037332"/>
    <w:rsid w:val="0003796B"/>
    <w:rsid w:val="000A59B9"/>
    <w:rsid w:val="00181C97"/>
    <w:rsid w:val="001A0634"/>
    <w:rsid w:val="001D5066"/>
    <w:rsid w:val="001E25CF"/>
    <w:rsid w:val="0025377F"/>
    <w:rsid w:val="002748D2"/>
    <w:rsid w:val="00291B1F"/>
    <w:rsid w:val="002A04CE"/>
    <w:rsid w:val="002B17F4"/>
    <w:rsid w:val="002C2DFB"/>
    <w:rsid w:val="002C6612"/>
    <w:rsid w:val="002F6E94"/>
    <w:rsid w:val="002F790A"/>
    <w:rsid w:val="003048F7"/>
    <w:rsid w:val="00306882"/>
    <w:rsid w:val="003A40CB"/>
    <w:rsid w:val="003A45BC"/>
    <w:rsid w:val="003B6512"/>
    <w:rsid w:val="003E65D2"/>
    <w:rsid w:val="003F16F8"/>
    <w:rsid w:val="003F659F"/>
    <w:rsid w:val="00412BD7"/>
    <w:rsid w:val="00426DA4"/>
    <w:rsid w:val="004726E5"/>
    <w:rsid w:val="004919DA"/>
    <w:rsid w:val="004F41DF"/>
    <w:rsid w:val="00516E76"/>
    <w:rsid w:val="00544D05"/>
    <w:rsid w:val="005D3136"/>
    <w:rsid w:val="00622C3B"/>
    <w:rsid w:val="0065531A"/>
    <w:rsid w:val="006B141B"/>
    <w:rsid w:val="006B292E"/>
    <w:rsid w:val="00734717"/>
    <w:rsid w:val="00737960"/>
    <w:rsid w:val="00744C4A"/>
    <w:rsid w:val="007947F6"/>
    <w:rsid w:val="007B0453"/>
    <w:rsid w:val="007E284A"/>
    <w:rsid w:val="0083529A"/>
    <w:rsid w:val="00851CD7"/>
    <w:rsid w:val="008B0E0F"/>
    <w:rsid w:val="008D7720"/>
    <w:rsid w:val="009008B2"/>
    <w:rsid w:val="009226DD"/>
    <w:rsid w:val="00930970"/>
    <w:rsid w:val="00975298"/>
    <w:rsid w:val="00975C10"/>
    <w:rsid w:val="009C22BD"/>
    <w:rsid w:val="009C47B8"/>
    <w:rsid w:val="009C751D"/>
    <w:rsid w:val="009D165F"/>
    <w:rsid w:val="009F78AA"/>
    <w:rsid w:val="00A04B69"/>
    <w:rsid w:val="00AB0D88"/>
    <w:rsid w:val="00AE740E"/>
    <w:rsid w:val="00AF379A"/>
    <w:rsid w:val="00B87CA1"/>
    <w:rsid w:val="00BA10DD"/>
    <w:rsid w:val="00BD531B"/>
    <w:rsid w:val="00C04A88"/>
    <w:rsid w:val="00C066F1"/>
    <w:rsid w:val="00C26ECB"/>
    <w:rsid w:val="00C83F09"/>
    <w:rsid w:val="00C85358"/>
    <w:rsid w:val="00CA6EA1"/>
    <w:rsid w:val="00D242AE"/>
    <w:rsid w:val="00D51822"/>
    <w:rsid w:val="00DF4DE1"/>
    <w:rsid w:val="00E35E61"/>
    <w:rsid w:val="00E5204A"/>
    <w:rsid w:val="00E5705A"/>
    <w:rsid w:val="00E80084"/>
    <w:rsid w:val="00E846EB"/>
    <w:rsid w:val="00E8647A"/>
    <w:rsid w:val="00EA7C57"/>
    <w:rsid w:val="00EB4161"/>
    <w:rsid w:val="00EB7A96"/>
    <w:rsid w:val="00F47649"/>
    <w:rsid w:val="00F52005"/>
    <w:rsid w:val="00F572E3"/>
    <w:rsid w:val="00F74C1A"/>
    <w:rsid w:val="00FC6C4D"/>
    <w:rsid w:val="00FE57E9"/>
    <w:rsid w:val="00FF6D2C"/>
    <w:rsid w:val="010C2F0C"/>
    <w:rsid w:val="01233A9E"/>
    <w:rsid w:val="013637D1"/>
    <w:rsid w:val="025A34EF"/>
    <w:rsid w:val="026328BE"/>
    <w:rsid w:val="029E179F"/>
    <w:rsid w:val="02B01361"/>
    <w:rsid w:val="03157416"/>
    <w:rsid w:val="03471DF3"/>
    <w:rsid w:val="04180F6C"/>
    <w:rsid w:val="058A1540"/>
    <w:rsid w:val="05D37841"/>
    <w:rsid w:val="08355DAE"/>
    <w:rsid w:val="08A3548D"/>
    <w:rsid w:val="08B1656C"/>
    <w:rsid w:val="09CD0A4B"/>
    <w:rsid w:val="09F8197F"/>
    <w:rsid w:val="0A3960E0"/>
    <w:rsid w:val="0A4C7BC2"/>
    <w:rsid w:val="0B756CA4"/>
    <w:rsid w:val="0C09192F"/>
    <w:rsid w:val="0C8A526B"/>
    <w:rsid w:val="0CE94F04"/>
    <w:rsid w:val="0DB553D3"/>
    <w:rsid w:val="0DC27D05"/>
    <w:rsid w:val="0DF26CD2"/>
    <w:rsid w:val="0E3A0894"/>
    <w:rsid w:val="0EB16669"/>
    <w:rsid w:val="0EEC3721"/>
    <w:rsid w:val="110C3277"/>
    <w:rsid w:val="117B57BA"/>
    <w:rsid w:val="11B47EA3"/>
    <w:rsid w:val="124E4494"/>
    <w:rsid w:val="12922832"/>
    <w:rsid w:val="12B74046"/>
    <w:rsid w:val="12F901BB"/>
    <w:rsid w:val="13272FCD"/>
    <w:rsid w:val="13C22A1D"/>
    <w:rsid w:val="144B46A5"/>
    <w:rsid w:val="14A2339E"/>
    <w:rsid w:val="14A30D26"/>
    <w:rsid w:val="14F129A8"/>
    <w:rsid w:val="163D6EDA"/>
    <w:rsid w:val="16A50D85"/>
    <w:rsid w:val="1844617C"/>
    <w:rsid w:val="193E4D80"/>
    <w:rsid w:val="19B72B7E"/>
    <w:rsid w:val="19F35E0D"/>
    <w:rsid w:val="1AA55B8F"/>
    <w:rsid w:val="1AE0421B"/>
    <w:rsid w:val="1B062994"/>
    <w:rsid w:val="1BB01427"/>
    <w:rsid w:val="1C1F6DCF"/>
    <w:rsid w:val="1CA338B7"/>
    <w:rsid w:val="1CE7377A"/>
    <w:rsid w:val="1EA90CE7"/>
    <w:rsid w:val="1F53677F"/>
    <w:rsid w:val="210B0991"/>
    <w:rsid w:val="21135549"/>
    <w:rsid w:val="21BA7CF6"/>
    <w:rsid w:val="224D3C13"/>
    <w:rsid w:val="22AE7CE0"/>
    <w:rsid w:val="235D4BA9"/>
    <w:rsid w:val="23800B55"/>
    <w:rsid w:val="238719BC"/>
    <w:rsid w:val="23CC50E1"/>
    <w:rsid w:val="246C5071"/>
    <w:rsid w:val="24A045BE"/>
    <w:rsid w:val="25914FF7"/>
    <w:rsid w:val="274F5E0D"/>
    <w:rsid w:val="277501E1"/>
    <w:rsid w:val="27E15995"/>
    <w:rsid w:val="280461AA"/>
    <w:rsid w:val="283C7070"/>
    <w:rsid w:val="287706F9"/>
    <w:rsid w:val="28B742E7"/>
    <w:rsid w:val="29D728E4"/>
    <w:rsid w:val="2D7E0825"/>
    <w:rsid w:val="2E982B26"/>
    <w:rsid w:val="2EBB6FBC"/>
    <w:rsid w:val="2FF124EE"/>
    <w:rsid w:val="30E44321"/>
    <w:rsid w:val="31456F95"/>
    <w:rsid w:val="31480E70"/>
    <w:rsid w:val="32070FA4"/>
    <w:rsid w:val="320E58AF"/>
    <w:rsid w:val="32AC3044"/>
    <w:rsid w:val="32CC7242"/>
    <w:rsid w:val="35626247"/>
    <w:rsid w:val="359D0A43"/>
    <w:rsid w:val="35E52C49"/>
    <w:rsid w:val="39A44163"/>
    <w:rsid w:val="39A65CA5"/>
    <w:rsid w:val="3A035746"/>
    <w:rsid w:val="3A524858"/>
    <w:rsid w:val="3A690FFD"/>
    <w:rsid w:val="3AF7608E"/>
    <w:rsid w:val="3BA44877"/>
    <w:rsid w:val="3BAE785A"/>
    <w:rsid w:val="3BDD3B3F"/>
    <w:rsid w:val="3D54230E"/>
    <w:rsid w:val="3D5833B7"/>
    <w:rsid w:val="3D83026B"/>
    <w:rsid w:val="3E09759C"/>
    <w:rsid w:val="3E296882"/>
    <w:rsid w:val="3ED23E32"/>
    <w:rsid w:val="3F8D0026"/>
    <w:rsid w:val="40476DE6"/>
    <w:rsid w:val="40764CD6"/>
    <w:rsid w:val="40B914B8"/>
    <w:rsid w:val="40F0234E"/>
    <w:rsid w:val="415E7BFF"/>
    <w:rsid w:val="41766CF7"/>
    <w:rsid w:val="41917368"/>
    <w:rsid w:val="44077E48"/>
    <w:rsid w:val="450B1E4C"/>
    <w:rsid w:val="45771FF4"/>
    <w:rsid w:val="45991206"/>
    <w:rsid w:val="463351B6"/>
    <w:rsid w:val="46783D45"/>
    <w:rsid w:val="46BCEC76"/>
    <w:rsid w:val="46CE3131"/>
    <w:rsid w:val="47216726"/>
    <w:rsid w:val="47F16060"/>
    <w:rsid w:val="4A0B6660"/>
    <w:rsid w:val="4B282668"/>
    <w:rsid w:val="4B673EAF"/>
    <w:rsid w:val="4BC15012"/>
    <w:rsid w:val="4CFE4E9A"/>
    <w:rsid w:val="4D420ED1"/>
    <w:rsid w:val="4DFE42FC"/>
    <w:rsid w:val="4E0D47FB"/>
    <w:rsid w:val="4E3F4B35"/>
    <w:rsid w:val="4EDE5EDB"/>
    <w:rsid w:val="4F3254DD"/>
    <w:rsid w:val="4F902072"/>
    <w:rsid w:val="4F960564"/>
    <w:rsid w:val="50695002"/>
    <w:rsid w:val="50EB0DA9"/>
    <w:rsid w:val="514F1FA1"/>
    <w:rsid w:val="51510BE7"/>
    <w:rsid w:val="51B625B8"/>
    <w:rsid w:val="51D11D27"/>
    <w:rsid w:val="52516A69"/>
    <w:rsid w:val="52722DD0"/>
    <w:rsid w:val="527E1EAF"/>
    <w:rsid w:val="528D19C9"/>
    <w:rsid w:val="530155F7"/>
    <w:rsid w:val="53982280"/>
    <w:rsid w:val="563D7BFC"/>
    <w:rsid w:val="566C4B1C"/>
    <w:rsid w:val="567C1B33"/>
    <w:rsid w:val="58E27188"/>
    <w:rsid w:val="59A50ECE"/>
    <w:rsid w:val="59AD0FC1"/>
    <w:rsid w:val="59D56AC7"/>
    <w:rsid w:val="59FC75DA"/>
    <w:rsid w:val="5B1652F4"/>
    <w:rsid w:val="5B570024"/>
    <w:rsid w:val="5BA26C0E"/>
    <w:rsid w:val="5BD86F86"/>
    <w:rsid w:val="5BE24A0D"/>
    <w:rsid w:val="5CB61B08"/>
    <w:rsid w:val="5D0019A2"/>
    <w:rsid w:val="5D534865"/>
    <w:rsid w:val="5D5C1FF0"/>
    <w:rsid w:val="5D7D0F22"/>
    <w:rsid w:val="5DD60DF1"/>
    <w:rsid w:val="5E0E19CD"/>
    <w:rsid w:val="5F37DD98"/>
    <w:rsid w:val="5F9B623A"/>
    <w:rsid w:val="5FD10D6F"/>
    <w:rsid w:val="5FFF18F1"/>
    <w:rsid w:val="602A5424"/>
    <w:rsid w:val="60945904"/>
    <w:rsid w:val="60B41C56"/>
    <w:rsid w:val="621209A2"/>
    <w:rsid w:val="623F268D"/>
    <w:rsid w:val="62B67665"/>
    <w:rsid w:val="636467D4"/>
    <w:rsid w:val="63696264"/>
    <w:rsid w:val="63FA0515"/>
    <w:rsid w:val="640B266D"/>
    <w:rsid w:val="646A069C"/>
    <w:rsid w:val="64A84B6A"/>
    <w:rsid w:val="663E7534"/>
    <w:rsid w:val="666351EC"/>
    <w:rsid w:val="679A4C07"/>
    <w:rsid w:val="688407F9"/>
    <w:rsid w:val="68BC5088"/>
    <w:rsid w:val="694E3F32"/>
    <w:rsid w:val="69E55F18"/>
    <w:rsid w:val="6AB41284"/>
    <w:rsid w:val="6AC55636"/>
    <w:rsid w:val="6BD609B3"/>
    <w:rsid w:val="6C0703C8"/>
    <w:rsid w:val="6CD04FEE"/>
    <w:rsid w:val="6CF3853B"/>
    <w:rsid w:val="6D0F1C2A"/>
    <w:rsid w:val="6ECB1387"/>
    <w:rsid w:val="6F806E0F"/>
    <w:rsid w:val="70357385"/>
    <w:rsid w:val="716909EF"/>
    <w:rsid w:val="724A54B2"/>
    <w:rsid w:val="73D17C39"/>
    <w:rsid w:val="74E3083D"/>
    <w:rsid w:val="763149BF"/>
    <w:rsid w:val="764F3097"/>
    <w:rsid w:val="770B3462"/>
    <w:rsid w:val="77366005"/>
    <w:rsid w:val="77EF9718"/>
    <w:rsid w:val="78F93F43"/>
    <w:rsid w:val="792E3438"/>
    <w:rsid w:val="798D33C2"/>
    <w:rsid w:val="7AF6651F"/>
    <w:rsid w:val="7B6A3D6C"/>
    <w:rsid w:val="7BCD1870"/>
    <w:rsid w:val="7BF546E1"/>
    <w:rsid w:val="7C596A1E"/>
    <w:rsid w:val="7D932B60"/>
    <w:rsid w:val="7DA778A9"/>
    <w:rsid w:val="7DC20C58"/>
    <w:rsid w:val="7DC2333D"/>
    <w:rsid w:val="7DF442BF"/>
    <w:rsid w:val="7ECA36DB"/>
    <w:rsid w:val="7EDB3F5C"/>
    <w:rsid w:val="7FB15F40"/>
    <w:rsid w:val="7FF3578F"/>
    <w:rsid w:val="BBD0FCC0"/>
    <w:rsid w:val="DFBF7E63"/>
    <w:rsid w:val="EBEE6821"/>
    <w:rsid w:val="EFEB4E80"/>
    <w:rsid w:val="F3FF816F"/>
    <w:rsid w:val="FBDFDC2C"/>
    <w:rsid w:val="FEFF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0"/>
    <w:pPr>
      <w:spacing w:line="500" w:lineRule="exact"/>
    </w:pPr>
    <w:rPr>
      <w:rFonts w:ascii="宋体" w:hAnsi="宋体"/>
      <w:sz w:val="28"/>
    </w:rPr>
  </w:style>
  <w:style w:type="paragraph" w:styleId="12">
    <w:name w:val="footer"/>
    <w:basedOn w:val="1"/>
    <w:link w:val="4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3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footnote text"/>
    <w:basedOn w:val="1"/>
    <w:semiHidden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1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7">
    <w:name w:val="Title"/>
    <w:basedOn w:val="1"/>
    <w:next w:val="1"/>
    <w:link w:val="32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Body Text First Indent"/>
    <w:basedOn w:val="11"/>
    <w:next w:val="1"/>
    <w:qFormat/>
    <w:uiPriority w:val="0"/>
    <w:pPr>
      <w:spacing w:after="120" w:line="240" w:lineRule="auto"/>
      <w:ind w:firstLine="420" w:firstLineChars="100"/>
    </w:pPr>
    <w:rPr>
      <w:rFonts w:ascii="Times New Roman" w:hAnsi="Times New Roman"/>
      <w:sz w:val="21"/>
    </w:rPr>
  </w:style>
  <w:style w:type="table" w:styleId="20">
    <w:name w:val="Table Grid"/>
    <w:basedOn w:val="1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footnote reference"/>
    <w:basedOn w:val="21"/>
    <w:semiHidden/>
    <w:qFormat/>
    <w:uiPriority w:val="0"/>
    <w:rPr>
      <w:vertAlign w:val="superscript"/>
    </w:rPr>
  </w:style>
  <w:style w:type="character" w:customStyle="1" w:styleId="23">
    <w:name w:val="标题 1 字符"/>
    <w:basedOn w:val="2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4">
    <w:name w:val="标题 2 字符"/>
    <w:basedOn w:val="2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5">
    <w:name w:val="标题 3 字符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6">
    <w:name w:val="标题 4 字符"/>
    <w:basedOn w:val="21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7">
    <w:name w:val="标题 5 字符"/>
    <w:basedOn w:val="21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8">
    <w:name w:val="标题 6 字符"/>
    <w:basedOn w:val="21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9">
    <w:name w:val="标题 7 字符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2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字符"/>
    <w:basedOn w:val="2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副标题 字符"/>
    <w:basedOn w:val="21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21"/>
    <w:link w:val="3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character" w:customStyle="1" w:styleId="37">
    <w:name w:val="Intense Emphasis"/>
    <w:basedOn w:val="21"/>
    <w:qFormat/>
    <w:uiPriority w:val="21"/>
    <w:rPr>
      <w:i/>
      <w:iCs/>
      <w:color w:val="104862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9">
    <w:name w:val="明显引用 字符"/>
    <w:basedOn w:val="21"/>
    <w:link w:val="38"/>
    <w:qFormat/>
    <w:uiPriority w:val="30"/>
    <w:rPr>
      <w:i/>
      <w:iCs/>
      <w:color w:val="104862" w:themeColor="accent1" w:themeShade="BF"/>
    </w:rPr>
  </w:style>
  <w:style w:type="character" w:customStyle="1" w:styleId="40">
    <w:name w:val="Intense Reference"/>
    <w:basedOn w:val="2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1">
    <w:name w:val="页眉 字符"/>
    <w:basedOn w:val="21"/>
    <w:link w:val="13"/>
    <w:qFormat/>
    <w:uiPriority w:val="99"/>
    <w:rPr>
      <w:sz w:val="18"/>
      <w:szCs w:val="18"/>
    </w:rPr>
  </w:style>
  <w:style w:type="character" w:customStyle="1" w:styleId="42">
    <w:name w:val="页脚 字符"/>
    <w:basedOn w:val="21"/>
    <w:link w:val="12"/>
    <w:qFormat/>
    <w:uiPriority w:val="99"/>
    <w:rPr>
      <w:sz w:val="18"/>
      <w:szCs w:val="18"/>
    </w:rPr>
  </w:style>
  <w:style w:type="character" w:customStyle="1" w:styleId="43">
    <w:name w:val="font21"/>
    <w:basedOn w:val="21"/>
    <w:qFormat/>
    <w:uiPriority w:val="0"/>
    <w:rPr>
      <w:rFonts w:hint="eastAsia" w:ascii="宋体" w:hAnsi="宋体" w:eastAsia="宋体"/>
      <w:color w:val="000000"/>
      <w:sz w:val="24"/>
      <w:szCs w:val="24"/>
      <w:u w:val="none"/>
    </w:rPr>
  </w:style>
  <w:style w:type="character" w:customStyle="1" w:styleId="44">
    <w:name w:val="font31"/>
    <w:basedOn w:val="21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  <w:style w:type="character" w:customStyle="1" w:styleId="45">
    <w:name w:val="font11"/>
    <w:basedOn w:val="21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  <w:style w:type="character" w:customStyle="1" w:styleId="46">
    <w:name w:val="font41"/>
    <w:basedOn w:val="21"/>
    <w:qFormat/>
    <w:uiPriority w:val="0"/>
    <w:rPr>
      <w:rFonts w:hint="eastAsia" w:ascii="宋体" w:hAnsi="宋体" w:eastAsia="宋体"/>
      <w:b/>
      <w:bCs/>
      <w:color w:val="000000"/>
      <w:sz w:val="24"/>
      <w:szCs w:val="24"/>
      <w:u w:val="none"/>
    </w:rPr>
  </w:style>
  <w:style w:type="character" w:customStyle="1" w:styleId="47">
    <w:name w:val="font01"/>
    <w:basedOn w:val="21"/>
    <w:qFormat/>
    <w:uiPriority w:val="0"/>
    <w:rPr>
      <w:rFonts w:hint="eastAsia" w:ascii="等线" w:hAnsi="等线" w:eastAsia="等线"/>
      <w:color w:val="000000"/>
      <w:sz w:val="22"/>
      <w:szCs w:val="22"/>
      <w:u w:val="none"/>
    </w:rPr>
  </w:style>
  <w:style w:type="character" w:customStyle="1" w:styleId="48">
    <w:name w:val="Char Char Char Char"/>
    <w:autoRedefine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paragraph" w:customStyle="1" w:styleId="49">
    <w:name w:val="作者"/>
    <w:basedOn w:val="1"/>
    <w:qFormat/>
    <w:uiPriority w:val="0"/>
    <w:pPr>
      <w:ind w:firstLine="0" w:firstLineChars="0"/>
      <w:jc w:val="center"/>
    </w:pPr>
    <w:rPr>
      <w:rFonts w:eastAsia="楷体"/>
    </w:rPr>
  </w:style>
  <w:style w:type="paragraph" w:customStyle="1" w:styleId="50">
    <w:name w:val="脚注"/>
    <w:basedOn w:val="15"/>
    <w:qFormat/>
    <w:uiPriority w:val="0"/>
    <w:pPr>
      <w:spacing w:after="0" w:afterLines="0"/>
      <w:ind w:firstLine="0" w:firstLineChars="0"/>
    </w:pPr>
    <w:rPr>
      <w:sz w:val="1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1015</Words>
  <Characters>1128</Characters>
  <Lines>29</Lines>
  <Paragraphs>8</Paragraphs>
  <TotalTime>0</TotalTime>
  <ScaleCrop>false</ScaleCrop>
  <LinksUpToDate>false</LinksUpToDate>
  <CharactersWithSpaces>1149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2025-03-08T22:35:00Z</dcterms:created>
  <dc:creator>bo C</dc:creator>
  <cp:lastModifiedBy>陈博</cp:lastModifiedBy>
  <cp:lastPrinted>2025-06-24T21:01:00Z</cp:lastPrinted>
  <dcterms:modified xsi:type="dcterms:W3CDTF">2026-06-30T01:26:48Z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eyJoZGlkIjoiYTgxOTllMTY3N2ViMTUxYjg0ZGUyZDQ0YjlkZDE3MGYiLCJ1c2VySWQiOiI1MDIzNTI5ODMifQ==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56B9714B92D74E01917930CDAC43AA6F_13</vt:lpwstr>
  </property>
</Properties>
</file>